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14 179 vom 8. März 2016</w:t>
      </w:r>
    </w:p>
    <w:p>
      <w:r>
        <w:t>VS Kantonsgericht, 2016-03-08, FR</w:t>
      </w:r>
    </w:p>
    <w:p>
      <w:r>
        <w:rPr>
          <w:b/>
        </w:rPr>
        <w:t xml:space="preserve">Quelle: </w:t>
      </w:r>
      <w:r>
        <w:t>https://mcp.opencaselaw.ch/entscheid/vs_gerichte_C1 14 179</w:t>
      </w:r>
    </w:p>
    <w:p>
      <w:r>
        <w:t>FR: VS_GERICHTE C1 14 179 du 8 mars 2016</w:t>
      </w:r>
    </w:p>
    <w:p>
      <w:r>
        <w:t>IT: VS_GERICHTE C1 14 179 del 8 marzo 2016</w:t>
      </w:r>
    </w:p>
    <w:p>
      <w:pPr>
        <w:pStyle w:val="Heading2"/>
      </w:pPr>
      <w:r>
        <w:t>Erwägungen</w:t>
      </w:r>
    </w:p>
    <w:p>
      <w:r>
        <w:rPr>
          <w:b/>
        </w:rPr>
        <w:t>E. 24</w:t>
      </w:r>
    </w:p>
    <w:p>
      <w:r>
        <w:t>octobre 1972 fixant ledit tarif), qui prévoyait que le salaire du courtier était fixé au taux de 5% pour une vente jusqu'à 100'000 fr., de 4% jusqu'à 200'000 fr. et de 2% au- delà (cf. RVJ 1993 p. 290 consid. 4d et 1979 p. 358 consid. 2c ainsi que ATC C1 10 116 du 7 décembre 2010 consid. 4.1 avec les références citées). 6.4.3.7 En doctrine, il est par ailleurs admis que des taux allant de 1 à 3% pour des immeubles bâtis et de 3 à 5% pour des terrains non bâtis peuvent être considérés comme usuels. Il est également indiqué que le taux à appliquer lors de l’aliénation d’une petite maison de vacances ne devrait pas excéder 3 à 4 % (DREYER, Le contrat de courtage, in PICHONNAZ/WERRO, La pratique contractuelle 2, 2011, p. 75 ss, p. 87- 88 ; STREIFF, Handkommentar zum Maklervertrag, 2009, n. 13.6). 6.4.3.8 Hormis le taux usuel, d'autres éléments peuvent entrer en ligne de compte pour déterminer si une rémunération est excessive. Il en va notamment ainsi du genre d'activité déployée par le courtier (indication, négociation), du fait qu’il a présenté à l'acheteur une occasion unique correspondant parfaitement à l'objet recherché, ou, s’il a agi à titre professionnel, de ses frais généraux et d'une compensation pour ses démarches infructueuses dans d'autres affaires (ATF 138 III 669 consid. 3.1 ainsi que TERCIER/FAVRE, op. cit., n. 5659 et les références citées). 6.4.3.9 En définitive, la détermination du caractère excessif ou non du salaire du courtier relève du pouvoir d'appréciation du juge (ATF 138 III 669 consid. 3.1 et les références citées). 7.1 Dans le cas particulier, le magistrat de première instance a considéré que la commission de courtage fixée contractuellement par les parties n’était pas excessive au sens de l’art. 417 CO. A l’appui de son opinion, il a tout d’abord relevé que la vente immobilière conclue le 6 avril 2009 l’avait été au prix souhaité par X_________ et que, du moment que le courtier (Y_________) avait « mis en relation l’acheteur du chalet » avec cette dernière, il pouvait « valablement prétendre à un salaire ». S’agissant de l’ampleur de ce dernier, il a pris en compte les témoignages de E_________, de F_________ et de G_________ - « professionnels de l’immobilier » actifs en Valais, sans être liés à la demanderesse - pour affirmer que la commission de courtage</w:t>
      </w:r>
    </w:p>
    <w:p>
      <w:r>
        <w:t>- 19 - litigieuse n’était pas « contraire à l’intérêt public tel que protégé par l’art. 417 CO » et qu’elle « était usuelle et conforme à la pratique actuelle dans la région considérée ». Il a en outre estimé que le taux de 5% retenu pour le calcul de cette commission était corroboré par le « modèle de contrat de courtage » ainsi que par l’article du quotidien « C_________ » déposés en cause. Il a finalement pris en considération le fait que Y_________ exerçait son « activité de courtage à titre professionnel », de sorte que ses « frais généraux » pouvaient être compris dans la commission mise en cause, et affirmé que cette dernière ne paraissait pas excessive au vu de la jurisprudence du tribunal fédéral, la jurisprudence cantonale à laquelle se référait X_________ (RVJ 1993 p. 290 et 1977 p. 356) étant au surplus trop ancienne pour « être le reflet de la pratique immobilière actuelle ». 7.2.1 L’appelante conteste tout d’abord le fait que le premier juge a admis (décision du</w:t>
      </w:r>
    </w:p>
    <w:p>
      <w:r>
        <w:rPr>
          <w:b/>
        </w:rPr>
        <w:t>E. 26</w:t>
      </w:r>
    </w:p>
    <w:p>
      <w:r>
        <w:t>avril 2012, cause C2 11 xxx) le dépôt en procédure, par l’appelée, de deux pièces qu’il a ensuite utilisées comme argument de sa démonstration juridique telle que résumée ci-dessus, soit un modèle de « contrat de courtage de B_________» (dos. p. 127-130) ainsi qu’un article relatif à la « rémunération du courtier », paru dans le quotidien « C_________ » du xxx 2009 (dos. p. 131). Elle soutient à cet égard que ledit modèle de contrat n’était pas « apte à prouver un fait juridiquement pertinent » puisqu’il contenait une clause d’exclusivité - ce qui n’était pas le cas du contrat en cause dans la présente cause - et émanait de « B_________ » (canton de U_________) alors que la commission de courtage litigieuse concernait la vente d’un immeuble sis à FF_________ (canton du Valais) et qu’il était « notoire » que « les conditions du marché immobilier [étaient] foncièrement différentes » dans les cantons de U_________ et du Valais. Ce même motif devait d’ailleurs également conduire, selon elle, à écarter l’article de presse précité, lequel avait du reste été établi avec la collaboration d’une société du canton de U_________ (GG_________) ayant « manifestement un intérêt direct s’agissant de porter à la hausse de prétendus tarifs usuels de commission de courtage ». Comme l’a pertinemment relevé le premier juge, ces deux pièces reflètent la pratique en matière de commission de courtage en vigueur « dans les milieux immobiliers d’une partie de la Suisse romande», de sorte qu’elles ne sont pas privées de tout intérêt dans le cadre du présent procès. En outre, dans la mesure où elles n’étaient susceptibles d’être prises en considération que dans l’application du droit, à laquelle ledit juge devait de toute façon procéder d’office (DUCROT, op. cit., p. 306-308 ; cf. également art. 57 CPC) en faisant en outre usage de son pouvoir d’appréciation (cf. consid. 6.4.3.9), rien</w:t>
      </w:r>
    </w:p>
    <w:p>
      <w:r>
        <w:t>- 20 - ne s’opposait à leur dépôt en cause, lequel ne préjugeait en rien de la manière dont ce même juge allait en tenir compte. 7.2.2 X_________ s’en prend également aux questions qui ont été préparées par Y_________ à l’intention des témoins E_________, F_________ et G_________ (dos. p. 146-149) et que le juge de district a admis de leur poser (cf. décision du 7 janvier 2013, cause C2 12 xxx). Elle affirme à cet égard que, dans la mesure où ces personnes ont, en réalité, été entendues comme « témoins-experts », elles ne pouvaient l’être que sur leur « perception personnelle de certains faits », ce qui n’avait pas été le cas en l’espèce. En effet, ils n’avaient ni « vu l’objet, ni assisté à la négociation du contrat de courtage en question ou à l’exécution de celui-ci, sans compter qu’ils n’[étaient] pas [à] proprement parler actifs dans la région de FF_________ ». De surcroît, lesdites questions ne concernaient pas « des faits valablement allégués en procédure » et appelaient des réponses relevant du domaine « des appréciations ou des opinions », voire étaient des questions de droit « devant être tranchées par le seul juge ». Par ailleurs, leurs témoignages étaient dénués de valeur probante dans la mesure où ils avaient « tous un intérêt direct dans cette affaire » puisqu’ils étaient « actifs dans l’immobilier » et percevaient des commissions de courtage. Ils avaient au surplus eu connaissance de l’objet de leur audition et avaient pu se concerter à l’avance. Sur ce point également, le premier juge a, de manière pertinente, considéré que les questions litigieuses avaient essentiellement pour but de déterminer les « connaissances spécifiques dans le domaine immobilier » des témoins concernés et leur « pratique » dans le cadre de leur activité professionnelle exercée dans ce domaine, puis de leur demander leur avis de professionnel sur la commission de courtage litigieuse, ce qui ne paraît pas critiquable (cf. art. 193 let. c CPC/VS et DUCROT, op. cit., p. 319 ; cf. également art. 175 CPC), étant encore précisé, comme on l’a déjà vu (cf. consid. 7.2.1), que les réponses à ces questions n’étaient susceptibles d’être prises en compte que dans l’application du droit, à laquelle le juge de première instance devait de toute façon procéder d’office, en faisant en outre usage de son pouvoir d’appréciation. 7.2.3 Sur le fond, l’appelante soutient qu’une commission de courtage s’élevant à 5% du prix de vente d’un immeuble « constitue un salaire manifestement excessif au regard des tarifs usuels appliqués en Valais et de la jurisprudence constante » du tribunal de céans, de même que des circonstances du cas d’espèce. A cet égard, elle relève que l’appelée n’a « notamment joué qu’un rôle de courtier indicateur et n’a pas</w:t>
      </w:r>
    </w:p>
    <w:p>
      <w:r>
        <w:t>- 21 - eu à négocier le prix de vente ». En outre, elle n’aurait « réalisé qu’une activité très réduite » et, dans la mesure où son champ d’action professionnel n’était pas restreint au courtage immobilier, « le caractère aléatoire » de son mandat de courtier devait être « relativisé » dans son cas. De surcroît, D_________, qui s’était occupée de la vente en question, n’avait pas de « qualifications professionnelles en la matière » et cette vente concernait un terrain bâti, ce qui interdisait déjà de retenir un taux de 5% du prix de vente pour calculer la commission de courtage. 7.2.4 Certes, le contrat de courtage conclu par les parties ne renfermait pas de clause d’exclusivité (cf. consid. 4.2), ce qui en renforçait le caractère aléatoire. En outre, il est indéniable que, dans la mesure où l’appelée exerçait professionnellement l’activité de courtier immobilier, sa rémunération pouvait également servir à couvrir une partie de ses frais généraux, voire à compenser des dépenses engagées dans d’autres affaires qui ne s’étaient pas réalisées (cf. consid. 6.4.3.8). De plus, il est établi qu’elle a parfaitement accompli le mandat de courtage qui lui a été confié puisque la vente immobilière souhaitée a finalement été conclue au prix exact souhaité par le mandant avec des acquéreurs qu’elle a elle-même amenés. Il faut toutefois relever que, même si son siège social se trouve dans le canton de U_________, cette dernière a rempli ses obligations contractuelles par le biais de sa « succursale » valaisanne active sur le marché immobilier valaisan (cf. consid. 4.2 et 5.1.1). En outre, son activité s’est limitée à un courtage d’indication et non pas de négociation puisque l’acquéreur L_________ n’a jamais discuté le prix de vente souhaité par l’appelante (cf. consid. 5.1.1). De plus, même si c’est à tort que cette dernière a tenté de minimiser le travail qu’elle a effectivement fourni, ses prestations n’ont néanmoins pas excédé ce que l’on pouvait raisonnablement attendre d’un courtier immobilier dans le cas d’espèce (cf. consid. 5). Enfin, et surtout, un taux de 5% appliqué à un prix de vente d’un immeuble bâti de 530'000 fr. - quand bien même ce prix tenait déjà compte de la commission de courtage fixée contractuellement par les parties (cf. dos. p. 26 ; R ad Q 24, dos. p. 191 ; R ad Q 3, dos. p. 268), conformément à une pratique qui paraît largement répandue (cf. R ad Q 6, dos. p. 182 ; R ad Q 10 et 12, dos. p. 184) - est encore largement supérieur au taux admissible, en Valais, selon la jurisprudence cantonale précitée (cf. consid. 6.4.3.6) qui, contrairement à ce que semblent penser le premier juge de même que l’appelée, n’est pas si ancienne ni dépourvue d’actualité. A cet égard, cette jurisprudence, rapprochée de l’ancien tarif officiel valaisan pour les honoraires des agents immobiliers (qui donne, sans la TVA, une commission de 15'600 fr. [(100'000 fr. x 5%) + (100'000 fr. x 4%) + (330'000 fr. x</w:t>
      </w:r>
    </w:p>
    <w:p>
      <w:r>
        <w:t>- 22 - 2%)], soit un peu plus de 2,9% du prix de vente), ainsi du reste que de la jurisprudence fédérale et de la doctrine en la matière (cf. consid. 6.4.3.5 et 6.4.3.7), permet de considérer que le taux maximum admissible, dans le cas particulier, doit être fixé à 3%, nonobstant ce qu’on déclaré en procédure les professionnels de l’immobilier entendus comme témoins, dont l’avis sur cette question ne peut être considéré comme déterminant dans la mesure où aucun d’eux n’a visité l’immeuble concerné, ni n’est un spécialiste du marché immobilier du lieu où il se trouve (cf. R ad Q 2 et 6, dos. p. 181- 182 ; R ad Q 8, 11 et 12, dos. p. 183-184 ; R ad Q 14, 17, 18, dos. p. 186-187). Au surplus, les documents produits par l’appelée (modèle de contrat de courtage de B_________ et article de presse, cf. consid. 7.2.1) à l’appui de sa thèse, dans la mesure où ils reflètent une pratique du courtage immobilier en vigueur dans le canton de U__________, ne sauraient constituer des bases de comparaisons utiles dans le cas d’espèce qui concerne la vente d’un immeuble dans un village valaisan de montagne. 7.2.5 Ainsi, la commission de courtage admissible due par l’appelante à l’appelée doit être arrêtée à 17'108 fr. 40, TVA (7,6%) comprise ([530'000 fr. x 3%] + 7,6%). Un montant de 14'257 fr. ayant déjà été versé (cf. consid. 4.8), il subsiste dès lors un solde impayé de 2851 fr. 40. 7.2.6 Ce dernier montant porte en outre intérêts moratoires à 5% l’an (art. 104 al. 1 CO) dès le 7 avril 2009, soit dès le lendemain de la signature de l’acte de vente (cf. art. 4 du contrat de courtage [cf. également consid. 4.2.2 ci-dessus] et THÉVENOZ, Commentaire romand, 2ème éd., 2012, n. 9 ad art. 104 CO). 7.2.7 L’opposition au commandement de payer notifié par l’office des poursuites du district de A_________ à X_________ dans le cadre de la poursuite no xxx1 (cf. consid. 4.9) est ainsi définitivement levée à concurrence de 2851 fr. 40 avec intérêts à 5% l’an dès le 7 avril 2009. 7.2.8 Le jugement entrepris doit par conséquent être réformé dans le sens de ce qui précède (consid. 7.2.5-7.2.7), l’appel de X_________ étant ainsi admis dans cette mesure. 8.1 Lorsqu'elle statue à nouveau au sens de l’art. 318 al. 1 let. b CPC, l’autorité d’appel doit se prononcer sur les frais – englobant les dépens – de première instance (art. 318 al. 3 CPC) ; en effet, dans la mesure où le litige est tranché de façon différente que ne l’avait fait le premier juge, la répartition des frais à laquelle il s’était livré doit être revue (JEANDIN, n. 7 ad art. 318 CPC). Selon l’art. 106 CPC - qui vaut tant</w:t>
      </w:r>
    </w:p>
    <w:p>
      <w:r>
        <w:t>- 23 - en première qu’en seconde instance cantonale (cf. ATF 137 III 470 consid. 6.5.3 ; arrêt 5A_496/2013 du 11 septembre 2013 consid. 4.4.1) -, les frais sont mis à la charge de la partie succombante (al. 1) ; lorsqu'aucune des parties n'obtient entièrement gain de cause, les frais sont répartis selon le sort de la cause (al. 2). 8.2.1 La demanderesse et appelée obtient environ 20% (2851 fr. 40) du montant qu’elle avait réclamé et qui lui avait été alloué en première instance (14’257 fr.). Cela étant, les frais de première instance et d’appel sont mis pour 1/5ème à la charge de X_________ et pour 4/5ème à celle de Y_________. 8.2.2 Non contestés, les frais judiciaires de l’instance précédente, arrêtés à 2500 fr. par le premier juge, sont confirmés. Ce montant est prélevé sur les avances des parties (1800 fr. par la demanderesse ; 1700 fr. par la défenderesse), si bien que, compte tenu de la répartition desdits frais (500 fr. à la charge de la défenderesse et 2000 fr. à celle de la demanderesse), Y_________ versera 200 fr. à X_________ en remboursement de ses avances. 8.2.3 En appel, l’émolument, qui oscille entre 900 fr. et 3600 fr. (art. 16 al. 1 LTar) et doit être réduit de 60 % (art. 19 LTar), est arrêté à 1000 fr., montant correspondant à l’avance faite par l’appelante. Vu le sort des frais (200 fr. à la charge de X_________ ; 800 fr. à la charge de Y_________), l’appelée versera à l’appelante un montant de 800 fr. à titre de remboursement de ses avances. 8.3 Il convient également de se prononcer sur les indemnités à titre de dépens auxquelles peuvent prétendre les parties, dont chacune a été assistée par un mandataire professionnel. 8.3.1 L’activité déployée par ces mandataires en première instance ayant été sensiblement équivalente (double échange d’écritures ; quatre séances ; quelques courriers), les dépens auxquels les parties peuvent prétendre (cf. art. 27, 29 et 32 al. 1 LTar) sont fixés à 3500 fr., débours compris, pour chacune d’elles. Vu le sort des frais, X_________ versera, à titre de dépens, une indemnité de 700 fr. (3500 fr. x 1/5) à Y_________ qui lui versera au même titre 2800 fr. (3500 fr. x 4/5). 8.3.2 En appel, les dépens (cf. art. 35 al. 1 LTar), sont fixés à 1300 fr. pour l’appelante (écriture d’appel [24 pages] et détermination spontanée) et à 900 fr. pour l’appelée (détermination [6 pages]). Ainsi, X_________ versera, à titre de dépens, une indemnité</w:t>
      </w:r>
    </w:p>
    <w:p>
      <w:r>
        <w:t>- 24 - de 180 fr. (900 fr. x 1/5) à Y_________ qui lui versera au même titre 1040 fr. (1300 fr. x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